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397C2"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kern w:val="0"/>
          <w:sz w:val="28"/>
          <w:szCs w:val="28"/>
          <w:lang w:val="en-US" w:eastAsia="zh-CN" w:bidi="ar"/>
        </w:rPr>
        <w:t>标准pH计技术参数指导</w:t>
      </w:r>
    </w:p>
    <w:p w14:paraId="6AD32B5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本参数适用于实验室、水质、食品、医药、化工等行业台式/便携式标准pH计采购、招标及参数报备，依据JJF 119-2015《实验室pH计校准规范》编制，明确设备硬性技术指标、功能配置、配件、售后及验收要求，参数规范、可落地、可计量溯源。</w:t>
      </w:r>
    </w:p>
    <w:p w14:paraId="4CA36130">
      <w:pPr>
        <w:pStyle w:val="2"/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一、总体要求</w:t>
      </w:r>
    </w:p>
    <w:p w14:paraId="3FC1DE78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设备为全新原厂正品商用机型，无翻新、改装情况，可精准测定样品pH值、温度、mV/ORP电位，整机性能稳定、抗干扰能力强，支持第三方计量检定，满足日常检测数据准确性、重复性及溯源要求。</w:t>
      </w:r>
    </w:p>
    <w:p w14:paraId="789537D8">
      <w:pPr>
        <w:pStyle w:val="2"/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二、核心硬性技术参数</w:t>
      </w:r>
    </w:p>
    <w:p w14:paraId="5DAF2652">
      <w:pPr>
        <w:pStyle w:val="3"/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（一）pH测量性能</w:t>
      </w:r>
    </w:p>
    <w:p w14:paraId="43242D2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1. 测量范围：0.00～14.00 pH；</w:t>
      </w:r>
    </w:p>
    <w:p w14:paraId="28D3B8F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2. 分辨率：0.01 pH；</w:t>
      </w:r>
    </w:p>
    <w:p w14:paraId="7B5C0C2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3. 准确度：≤±0.02 pH（25℃标准条件）；</w:t>
      </w:r>
    </w:p>
    <w:p w14:paraId="14B5033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4. 稳定性：漂移≤0.01 pH/30min，读数稳定无频繁跳变；</w:t>
      </w:r>
    </w:p>
    <w:p w14:paraId="2E755ED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5. 响应时间：常规样品≤30s稳定读数。</w:t>
      </w:r>
    </w:p>
    <w:p w14:paraId="3A117858">
      <w:pPr>
        <w:pStyle w:val="3"/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（二）mV/ORP测量性能</w:t>
      </w:r>
    </w:p>
    <w:p w14:paraId="6F41DEC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 xml:space="preserve">1. 测量范围：-1999.9～+1999.9 </w:t>
      </w:r>
      <w:bookmarkStart w:id="0" w:name="_GoBack"/>
      <w:bookmarkEnd w:id="0"/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mV；</w:t>
      </w:r>
    </w:p>
    <w:p w14:paraId="41F9960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2. 分辨率：0.1 mV；</w:t>
      </w:r>
    </w:p>
    <w:p w14:paraId="5BA3BC9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3. 准确度：≤±0.2 mV，支持ORP氧化还原电位检测。</w:t>
      </w:r>
    </w:p>
    <w:p w14:paraId="0312FCD1">
      <w:pPr>
        <w:pStyle w:val="3"/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（三）温度测量与补偿</w:t>
      </w:r>
    </w:p>
    <w:p w14:paraId="3F00F16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1. 测量范围：0.0～100.0℃；</w:t>
      </w:r>
    </w:p>
    <w:p w14:paraId="0C52ADC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2. 分辨率：0.1℃；</w:t>
      </w:r>
    </w:p>
    <w:p w14:paraId="02C1141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3. 准确度：≤±0.5℃；</w:t>
      </w:r>
    </w:p>
    <w:p w14:paraId="417B8D3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4. 标配自动温度补偿（ATC），同时支持手动温度校准，消除温度对pH检测结果的偏差影响。</w:t>
      </w:r>
    </w:p>
    <w:p w14:paraId="265A26C5">
      <w:pPr>
        <w:pStyle w:val="2"/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三、设备必备功能配置</w:t>
      </w:r>
    </w:p>
    <w:p w14:paraId="02FAEB30">
      <w:pPr>
        <w:pStyle w:val="3"/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（一）校准功能</w:t>
      </w:r>
    </w:p>
    <w:p w14:paraId="36364E3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支持至少3点标准缓冲液自动校准（pH4.00、6.86、9.18），可自动识别缓冲液，具备零点、斜率手动校准功能；自带校准记录保存、校准失效提醒功能，可有效修正电极老化、环境干扰带来的检测误差。</w:t>
      </w:r>
    </w:p>
    <w:p w14:paraId="3A865043">
      <w:pPr>
        <w:pStyle w:val="3"/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（二）数据管理功能</w:t>
      </w:r>
    </w:p>
    <w:p w14:paraId="19319AB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内置存储，可保存≥500组检测数据，包含pH、mV、温度、检测时间、校准信息；支持数据查阅、锁定、删除，防止数据误篡改；配备USB/RS232数据接口，可连接电脑导出数据，满足实验数据归档、溯源需求。</w:t>
      </w:r>
    </w:p>
    <w:p w14:paraId="0AE0CC57">
      <w:pPr>
        <w:pStyle w:val="3"/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（三）操作与保护功能</w:t>
      </w:r>
    </w:p>
    <w:p w14:paraId="24EF359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配备中文背光液晶显示屏，操作简洁直观；具备电极状态诊断、电极老化提醒功能；支持读数自动锁定，规避人工读数误差；自带过载保护、异常报警、低电量提醒，设备运行安全稳定。</w:t>
      </w:r>
    </w:p>
    <w:p w14:paraId="7CB0A244">
      <w:pPr>
        <w:pStyle w:val="2"/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四、硬件配置要求</w:t>
      </w:r>
    </w:p>
    <w:p w14:paraId="08457A4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1. 机身材质：优质ABS工程塑料，耐腐蚀、抗老化、防摔防尘，适配实验室酸碱作业环境；</w:t>
      </w:r>
    </w:p>
    <w:p w14:paraId="7F31BD2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2. 供电方式：台式支持220V市电供电，便携式支持电池供电+USB充电，续航稳定；</w:t>
      </w:r>
    </w:p>
    <w:p w14:paraId="560C472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3. 防护等级：台式防尘防溅水，便携式防护等级≥IP54，适配现场复杂检测环境；</w:t>
      </w:r>
    </w:p>
    <w:p w14:paraId="2D51CAC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4. 电极配置：标配通用复合pH玻璃电极，阻抗稳定、响应灵敏、可补充填充液，配件通用无垄断限制，适配绝大多数水溶液样品检测。</w:t>
      </w:r>
    </w:p>
    <w:p w14:paraId="027F09A0">
      <w:pPr>
        <w:pStyle w:val="2"/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五、标准配置配件清单</w:t>
      </w:r>
    </w:p>
    <w:p w14:paraId="1FE2360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1. pH计主机1台；</w:t>
      </w:r>
    </w:p>
    <w:p w14:paraId="21F72899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2. 高精度复合pH电极1支；</w:t>
      </w:r>
    </w:p>
    <w:p w14:paraId="02FE86B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3. 温度传感器1支；</w:t>
      </w:r>
    </w:p>
    <w:p w14:paraId="433508D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4. pH4.00、6.86、9.18标准缓冲液各1套；</w:t>
      </w:r>
    </w:p>
    <w:p w14:paraId="47BAB1E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5. 电极保护浸泡液、专用清洗液；</w:t>
      </w:r>
    </w:p>
    <w:p w14:paraId="670805C3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6. 电源适配器、配套数据线；</w:t>
      </w:r>
    </w:p>
    <w:p w14:paraId="0673316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7. 台式机型标配专用电极支架；</w:t>
      </w:r>
    </w:p>
    <w:p w14:paraId="4B9072A7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8. 出厂合格证、检测报告、使用说明书、质保凭证。</w:t>
      </w:r>
    </w:p>
    <w:p w14:paraId="4AE5B45E">
      <w:pPr>
        <w:pStyle w:val="2"/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六、质量及售后要求</w:t>
      </w:r>
    </w:p>
    <w:p w14:paraId="29A24C4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1. 供货方提供正规品牌原厂产品及授权资质，设备可顺利通过第三方计量检定；</w:t>
      </w:r>
    </w:p>
    <w:p w14:paraId="1942FF2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2. 整机质保≥1年，电极质保≥6个月，质保期内非人为损坏免费维修、更换配件；</w:t>
      </w:r>
    </w:p>
    <w:p w14:paraId="3A8794B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3. 供应商免费提供设备安装调试、人员操作培训服务，终身提供技术咨询与维护指导；</w:t>
      </w:r>
    </w:p>
    <w:p w14:paraId="0BD251E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kern w:val="0"/>
          <w:sz w:val="21"/>
          <w:szCs w:val="21"/>
          <w:lang w:val="en-US" w:eastAsia="zh-CN" w:bidi="ar"/>
        </w:rPr>
        <w:t>4. 长期稳定供应电极、缓冲液等耗材，保障设备长期正常使用。</w:t>
      </w:r>
    </w:p>
    <w:p w14:paraId="6903BA78">
      <w:pPr>
        <w:rPr>
          <w:rFonts w:hint="default" w:ascii="Times New Roman" w:hAnsi="Times New Roman" w:cs="Times New Roman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12BC0"/>
    <w:rsid w:val="5855244C"/>
    <w:rsid w:val="5C945926"/>
    <w:rsid w:val="5FCB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1144</Words>
  <Characters>1323</Characters>
  <Lines>0</Lines>
  <Paragraphs>0</Paragraphs>
  <TotalTime>17</TotalTime>
  <ScaleCrop>false</ScaleCrop>
  <LinksUpToDate>false</LinksUpToDate>
  <CharactersWithSpaces>1359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2026-07-15T09:13:00Z</dcterms:created>
  <dc:creator>华为</dc:creator>
  <cp:lastModifiedBy>whr</cp:lastModifiedBy>
  <dcterms:modified xsi:type="dcterms:W3CDTF">2026-07-16T00:57:53Z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eyJoZGlkIjoiMzEwNTM5NzYwMDRjMzkwZTVkZjY2ODkwMGIxNGU0OTUiLCJ1c2VySWQiOiIyOTg1NjUwMSJ9</vt:lpwstr>
  </property>
  <property fmtid="{D5CDD505-2E9C-101B-9397-08002B2CF9AE}" pid="4" name="ICV">
    <vt:lpwstr>0050A29D62F94B11B7191743306A47D7_13</vt:lpwstr>
  </property>
</Properties>
</file>