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20587">
      <w:pPr>
        <w:keepNext w:val="0"/>
        <w:keepLines w:val="0"/>
        <w:widowControl/>
        <w:suppressLineNumbers w:val="0"/>
        <w:jc w:val="center"/>
        <w:rPr>
          <w:rFonts w:hint="eastAsia" w:ascii="黑体" w:hAnsi="黑体" w:eastAsia="黑体" w:cs="黑体"/>
          <w:b w:val="0"/>
          <w:bCs w:val="0"/>
          <w:sz w:val="32"/>
          <w:szCs w:val="32"/>
        </w:rPr>
      </w:pPr>
      <w:bookmarkStart w:id="0" w:name="_GoBack"/>
      <w:bookmarkEnd w:id="0"/>
      <w:r>
        <w:rPr>
          <w:rFonts w:hint="eastAsia" w:ascii="黑体" w:hAnsi="黑体" w:eastAsia="黑体" w:cs="黑体"/>
          <w:b w:val="0"/>
          <w:bCs w:val="0"/>
          <w:kern w:val="0"/>
          <w:sz w:val="32"/>
          <w:szCs w:val="32"/>
          <w:lang w:val="en-US" w:eastAsia="zh-CN" w:bidi="ar"/>
        </w:rPr>
        <w:t>小型仪器设备询比价采购通知</w:t>
      </w:r>
    </w:p>
    <w:p w14:paraId="63CE1C21">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为满足我</w:t>
      </w:r>
      <w:r>
        <w:rPr>
          <w:rFonts w:hint="eastAsia" w:ascii="Times New Roman" w:hAnsi="Times New Roman" w:eastAsia="华文宋体" w:cs="Times New Roman"/>
          <w:kern w:val="0"/>
          <w:sz w:val="21"/>
          <w:szCs w:val="21"/>
          <w:lang w:val="en-US" w:eastAsia="zh-CN" w:bidi="ar"/>
        </w:rPr>
        <w:t>公司</w:t>
      </w:r>
      <w:r>
        <w:rPr>
          <w:rFonts w:hint="default" w:ascii="Times New Roman" w:hAnsi="Times New Roman" w:eastAsia="华文宋体" w:cs="Times New Roman"/>
          <w:kern w:val="0"/>
          <w:sz w:val="21"/>
          <w:szCs w:val="21"/>
          <w:lang w:val="en-US" w:eastAsia="zh-CN" w:bidi="ar"/>
        </w:rPr>
        <w:t>日常工作开展需要，现就一批标准型小型仪器设备开展询比价采购工作。本次采购遵循公开、公平、公正、择优的原则，诚邀资质齐全、具备相应供货及服务能力的合格供应商参与本次比价采购活动，现将采购相关事宜公告如下。</w:t>
      </w:r>
    </w:p>
    <w:p w14:paraId="306BA125">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一、项目基本信息</w:t>
      </w:r>
    </w:p>
    <w:p w14:paraId="0B8FDD89">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 项目名称：小型标准仪器设备询比价采购项目</w:t>
      </w:r>
    </w:p>
    <w:p w14:paraId="7D984661">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 采购方式：询比价采购（本批次设备均为行业通用标准设备，通过询比价综合评审方式择优确定成交供应商）</w:t>
      </w:r>
    </w:p>
    <w:p w14:paraId="46559167">
      <w:pPr>
        <w:keepNext w:val="0"/>
        <w:keepLines w:val="0"/>
        <w:widowControl/>
        <w:suppressLineNumbers w:val="0"/>
        <w:jc w:val="left"/>
        <w:rPr>
          <w:rFonts w:hint="default" w:ascii="Times New Roman" w:hAnsi="Times New Roman" w:eastAsia="华文宋体" w:cs="Times New Roman"/>
          <w:sz w:val="21"/>
          <w:szCs w:val="21"/>
          <w:lang w:val="en-US"/>
        </w:rPr>
      </w:pPr>
      <w:r>
        <w:rPr>
          <w:rFonts w:hint="default" w:ascii="Times New Roman" w:hAnsi="Times New Roman" w:eastAsia="华文宋体" w:cs="Times New Roman"/>
          <w:kern w:val="0"/>
          <w:sz w:val="21"/>
          <w:szCs w:val="21"/>
          <w:lang w:val="en-US" w:eastAsia="zh-CN" w:bidi="ar"/>
        </w:rPr>
        <w:t>3. 采购企业：成都诺迪康生物制药有限公司</w:t>
      </w:r>
    </w:p>
    <w:p w14:paraId="7B9A9242">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4. 采购内容：本次采购设备包含过滤器完整性测试仪、pH计、-20℃医用保存箱</w:t>
      </w:r>
      <w:r>
        <w:rPr>
          <w:rFonts w:hint="eastAsia" w:ascii="Times New Roman" w:hAnsi="Times New Roman" w:eastAsia="华文宋体" w:cs="Times New Roman"/>
          <w:kern w:val="0"/>
          <w:sz w:val="21"/>
          <w:szCs w:val="21"/>
          <w:lang w:val="en-US" w:eastAsia="zh-CN" w:bidi="ar"/>
        </w:rPr>
        <w:t>、微生物限度仪</w:t>
      </w:r>
      <w:r>
        <w:rPr>
          <w:rFonts w:hint="default" w:ascii="Times New Roman" w:hAnsi="Times New Roman" w:eastAsia="华文宋体" w:cs="Times New Roman"/>
          <w:kern w:val="0"/>
          <w:sz w:val="21"/>
          <w:szCs w:val="21"/>
          <w:lang w:val="en-US" w:eastAsia="zh-CN" w:bidi="ar"/>
        </w:rPr>
        <w:t>，所有设备均为行业标准通用型号，具体设备明细及技术要求如下：</w:t>
      </w:r>
    </w:p>
    <w:tbl>
      <w:tblPr>
        <w:tblStyle w:val="5"/>
        <w:tblW w:w="9159" w:type="dxa"/>
        <w:jc w:val="center"/>
        <w:tblBorders>
          <w:top w:val="single" w:color="757070" w:themeColor="background2" w:themeShade="7F" w:sz="4" w:space="0"/>
          <w:left w:val="single" w:color="757070" w:themeColor="background2" w:themeShade="7F" w:sz="4" w:space="0"/>
          <w:bottom w:val="single" w:color="757070" w:themeColor="background2" w:themeShade="7F" w:sz="4" w:space="0"/>
          <w:right w:val="single" w:color="757070" w:themeColor="background2" w:themeShade="7F" w:sz="4" w:space="0"/>
          <w:insideH w:val="single" w:color="757070" w:themeColor="background2" w:themeShade="7F" w:sz="4" w:space="0"/>
          <w:insideV w:val="single" w:color="757070" w:themeColor="background2" w:themeShade="7F" w:sz="4" w:space="0"/>
        </w:tblBorders>
        <w:shd w:val="clear" w:color="auto" w:fill="auto"/>
        <w:tblLayout w:type="autofit"/>
        <w:tblCellMar>
          <w:top w:w="15" w:type="dxa"/>
          <w:left w:w="15" w:type="dxa"/>
          <w:bottom w:w="15" w:type="dxa"/>
          <w:right w:w="15" w:type="dxa"/>
        </w:tblCellMar>
      </w:tblPr>
      <w:tblGrid>
        <w:gridCol w:w="667"/>
        <w:gridCol w:w="1514"/>
        <w:gridCol w:w="1135"/>
        <w:gridCol w:w="5843"/>
      </w:tblGrid>
      <w:tr w14:paraId="719B03BF">
        <w:tblPrEx>
          <w:tblBorders>
            <w:top w:val="single" w:color="757070" w:themeColor="background2" w:themeShade="7F" w:sz="4" w:space="0"/>
            <w:left w:val="single" w:color="757070" w:themeColor="background2" w:themeShade="7F" w:sz="4" w:space="0"/>
            <w:bottom w:val="single" w:color="757070" w:themeColor="background2" w:themeShade="7F" w:sz="4" w:space="0"/>
            <w:right w:val="single" w:color="757070" w:themeColor="background2" w:themeShade="7F" w:sz="4" w:space="0"/>
            <w:insideH w:val="single" w:color="757070" w:themeColor="background2" w:themeShade="7F" w:sz="4" w:space="0"/>
            <w:insideV w:val="single" w:color="757070" w:themeColor="background2" w:themeShade="7F" w:sz="4" w:space="0"/>
          </w:tblBorders>
          <w:shd w:val="clear" w:color="auto" w:fill="auto"/>
          <w:tblCellMar>
            <w:top w:w="15" w:type="dxa"/>
            <w:left w:w="15" w:type="dxa"/>
            <w:bottom w:w="15" w:type="dxa"/>
            <w:right w:w="15" w:type="dxa"/>
          </w:tblCellMar>
        </w:tblPrEx>
        <w:trPr>
          <w:trHeight w:val="427" w:hRule="atLeast"/>
          <w:tblHeader/>
          <w:jc w:val="center"/>
        </w:trPr>
        <w:tc>
          <w:tcPr>
            <w:tcW w:w="667" w:type="dxa"/>
            <w:tcBorders>
              <w:tl2br w:val="nil"/>
              <w:tr2bl w:val="nil"/>
            </w:tcBorders>
            <w:shd w:val="clear" w:color="auto" w:fill="D7D7D7" w:themeFill="background1" w:themeFillShade="D8"/>
            <w:tcMar>
              <w:top w:w="96" w:type="dxa"/>
              <w:left w:w="96" w:type="dxa"/>
              <w:bottom w:w="96" w:type="dxa"/>
              <w:right w:w="96" w:type="dxa"/>
            </w:tcMar>
            <w:vAlign w:val="center"/>
          </w:tcPr>
          <w:p w14:paraId="5EEF3F2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b/>
                <w:bCs/>
                <w:sz w:val="21"/>
                <w:szCs w:val="21"/>
              </w:rPr>
            </w:pPr>
            <w:r>
              <w:rPr>
                <w:rFonts w:hint="default" w:ascii="Times New Roman" w:hAnsi="Times New Roman" w:eastAsia="华文宋体" w:cs="Times New Roman"/>
                <w:b/>
                <w:bCs/>
                <w:kern w:val="0"/>
                <w:sz w:val="21"/>
                <w:szCs w:val="21"/>
                <w:lang w:val="en-US" w:eastAsia="zh-CN" w:bidi="ar"/>
              </w:rPr>
              <w:t>序号</w:t>
            </w:r>
          </w:p>
        </w:tc>
        <w:tc>
          <w:tcPr>
            <w:tcW w:w="1514" w:type="dxa"/>
            <w:tcBorders>
              <w:tl2br w:val="nil"/>
              <w:tr2bl w:val="nil"/>
            </w:tcBorders>
            <w:shd w:val="clear" w:color="auto" w:fill="D7D7D7" w:themeFill="background1" w:themeFillShade="D8"/>
            <w:tcMar>
              <w:top w:w="96" w:type="dxa"/>
              <w:left w:w="96" w:type="dxa"/>
              <w:bottom w:w="96" w:type="dxa"/>
              <w:right w:w="96" w:type="dxa"/>
            </w:tcMar>
            <w:vAlign w:val="center"/>
          </w:tcPr>
          <w:p w14:paraId="17B5DF5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b/>
                <w:bCs/>
                <w:sz w:val="21"/>
                <w:szCs w:val="21"/>
              </w:rPr>
            </w:pPr>
            <w:r>
              <w:rPr>
                <w:rFonts w:hint="default" w:ascii="Times New Roman" w:hAnsi="Times New Roman" w:eastAsia="华文宋体" w:cs="Times New Roman"/>
                <w:b/>
                <w:bCs/>
                <w:kern w:val="0"/>
                <w:sz w:val="21"/>
                <w:szCs w:val="21"/>
                <w:lang w:val="en-US" w:eastAsia="zh-CN" w:bidi="ar"/>
              </w:rPr>
              <w:t>设备名称</w:t>
            </w:r>
          </w:p>
        </w:tc>
        <w:tc>
          <w:tcPr>
            <w:tcW w:w="1135" w:type="dxa"/>
            <w:tcBorders>
              <w:tl2br w:val="nil"/>
              <w:tr2bl w:val="nil"/>
            </w:tcBorders>
            <w:shd w:val="clear" w:color="auto" w:fill="D7D7D7" w:themeFill="background1" w:themeFillShade="D8"/>
            <w:tcMar>
              <w:top w:w="96" w:type="dxa"/>
              <w:left w:w="96" w:type="dxa"/>
              <w:bottom w:w="96" w:type="dxa"/>
              <w:right w:w="96" w:type="dxa"/>
            </w:tcMar>
            <w:vAlign w:val="center"/>
          </w:tcPr>
          <w:p w14:paraId="45B57E7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b/>
                <w:bCs/>
                <w:sz w:val="21"/>
                <w:szCs w:val="21"/>
              </w:rPr>
            </w:pPr>
            <w:r>
              <w:rPr>
                <w:rFonts w:hint="default" w:ascii="Times New Roman" w:hAnsi="Times New Roman" w:eastAsia="华文宋体" w:cs="Times New Roman"/>
                <w:b/>
                <w:bCs/>
                <w:kern w:val="0"/>
                <w:sz w:val="21"/>
                <w:szCs w:val="21"/>
                <w:lang w:val="en-US" w:eastAsia="zh-CN" w:bidi="ar"/>
              </w:rPr>
              <w:t>采购数量</w:t>
            </w:r>
          </w:p>
        </w:tc>
        <w:tc>
          <w:tcPr>
            <w:tcW w:w="5843" w:type="dxa"/>
            <w:tcBorders>
              <w:tl2br w:val="nil"/>
              <w:tr2bl w:val="nil"/>
            </w:tcBorders>
            <w:shd w:val="clear" w:color="auto" w:fill="D7D7D7" w:themeFill="background1" w:themeFillShade="D8"/>
            <w:tcMar>
              <w:top w:w="96" w:type="dxa"/>
              <w:left w:w="96" w:type="dxa"/>
              <w:bottom w:w="96" w:type="dxa"/>
              <w:right w:w="96" w:type="dxa"/>
            </w:tcMar>
            <w:vAlign w:val="center"/>
          </w:tcPr>
          <w:p w14:paraId="220F30B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b/>
                <w:bCs/>
                <w:sz w:val="21"/>
                <w:szCs w:val="21"/>
              </w:rPr>
            </w:pPr>
            <w:r>
              <w:rPr>
                <w:rFonts w:hint="default" w:ascii="Times New Roman" w:hAnsi="Times New Roman" w:eastAsia="华文宋体" w:cs="Times New Roman"/>
                <w:b/>
                <w:bCs/>
                <w:kern w:val="0"/>
                <w:sz w:val="21"/>
                <w:szCs w:val="21"/>
                <w:lang w:val="en-US" w:eastAsia="zh-CN" w:bidi="ar"/>
              </w:rPr>
              <w:t>核心设备要求</w:t>
            </w:r>
            <w:r>
              <w:rPr>
                <w:rFonts w:hint="eastAsia" w:ascii="Times New Roman" w:hAnsi="Times New Roman" w:eastAsia="华文宋体" w:cs="Times New Roman"/>
                <w:b/>
                <w:bCs/>
                <w:kern w:val="0"/>
                <w:sz w:val="21"/>
                <w:szCs w:val="21"/>
                <w:lang w:val="en-US" w:eastAsia="zh-CN" w:bidi="ar"/>
              </w:rPr>
              <w:t>（详见URS）</w:t>
            </w:r>
          </w:p>
        </w:tc>
      </w:tr>
      <w:tr w14:paraId="2274C359">
        <w:tblPrEx>
          <w:tblBorders>
            <w:top w:val="single" w:color="757070" w:themeColor="background2" w:themeShade="7F" w:sz="4" w:space="0"/>
            <w:left w:val="single" w:color="757070" w:themeColor="background2" w:themeShade="7F" w:sz="4" w:space="0"/>
            <w:bottom w:val="single" w:color="757070" w:themeColor="background2" w:themeShade="7F" w:sz="4" w:space="0"/>
            <w:right w:val="single" w:color="757070" w:themeColor="background2" w:themeShade="7F" w:sz="4" w:space="0"/>
            <w:insideH w:val="single" w:color="757070" w:themeColor="background2" w:themeShade="7F" w:sz="4" w:space="0"/>
            <w:insideV w:val="single" w:color="757070" w:themeColor="background2" w:themeShade="7F" w:sz="4" w:space="0"/>
          </w:tblBorders>
          <w:tblCellMar>
            <w:top w:w="15" w:type="dxa"/>
            <w:left w:w="15" w:type="dxa"/>
            <w:bottom w:w="15" w:type="dxa"/>
            <w:right w:w="15" w:type="dxa"/>
          </w:tblCellMar>
        </w:tblPrEx>
        <w:trPr>
          <w:trHeight w:val="471" w:hRule="atLeast"/>
          <w:jc w:val="center"/>
        </w:trPr>
        <w:tc>
          <w:tcPr>
            <w:tcW w:w="667" w:type="dxa"/>
            <w:tcBorders>
              <w:tl2br w:val="nil"/>
              <w:tr2bl w:val="nil"/>
            </w:tcBorders>
            <w:shd w:val="clear" w:color="auto" w:fill="auto"/>
            <w:tcMar>
              <w:top w:w="96" w:type="dxa"/>
              <w:left w:w="96" w:type="dxa"/>
              <w:bottom w:w="96" w:type="dxa"/>
              <w:right w:w="96" w:type="dxa"/>
            </w:tcMar>
            <w:vAlign w:val="center"/>
          </w:tcPr>
          <w:p w14:paraId="6D6EA43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w:t>
            </w:r>
          </w:p>
        </w:tc>
        <w:tc>
          <w:tcPr>
            <w:tcW w:w="1514" w:type="dxa"/>
            <w:tcBorders>
              <w:tl2br w:val="nil"/>
              <w:tr2bl w:val="nil"/>
            </w:tcBorders>
            <w:shd w:val="clear" w:color="auto" w:fill="auto"/>
            <w:tcMar>
              <w:top w:w="96" w:type="dxa"/>
              <w:left w:w="96" w:type="dxa"/>
              <w:bottom w:w="96" w:type="dxa"/>
              <w:right w:w="96" w:type="dxa"/>
            </w:tcMar>
            <w:vAlign w:val="center"/>
          </w:tcPr>
          <w:p w14:paraId="4FF07E0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过滤器完整性测试仪</w:t>
            </w:r>
          </w:p>
        </w:tc>
        <w:tc>
          <w:tcPr>
            <w:tcW w:w="1135" w:type="dxa"/>
            <w:tcBorders>
              <w:tl2br w:val="nil"/>
              <w:tr2bl w:val="nil"/>
            </w:tcBorders>
            <w:shd w:val="clear" w:color="auto" w:fill="auto"/>
            <w:tcMar>
              <w:top w:w="96" w:type="dxa"/>
              <w:left w:w="96" w:type="dxa"/>
              <w:bottom w:w="96" w:type="dxa"/>
              <w:right w:w="96" w:type="dxa"/>
            </w:tcMar>
            <w:vAlign w:val="center"/>
          </w:tcPr>
          <w:p w14:paraId="2040E52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2台</w:t>
            </w:r>
          </w:p>
        </w:tc>
        <w:tc>
          <w:tcPr>
            <w:tcW w:w="5843" w:type="dxa"/>
            <w:tcBorders>
              <w:tl2br w:val="nil"/>
              <w:tr2bl w:val="nil"/>
            </w:tcBorders>
            <w:shd w:val="clear" w:color="auto" w:fill="auto"/>
            <w:tcMar>
              <w:top w:w="96" w:type="dxa"/>
              <w:left w:w="96" w:type="dxa"/>
              <w:bottom w:w="96" w:type="dxa"/>
              <w:right w:w="96" w:type="dxa"/>
            </w:tcMar>
            <w:vAlign w:val="center"/>
          </w:tcPr>
          <w:p w14:paraId="12C25F7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符合国家行业标准，适用于各类滤芯完整性检测；设备检测精度高、操作简便，具备数据存储、数据打印功能、审计追踪功能，可满足生物</w:t>
            </w:r>
            <w:r>
              <w:rPr>
                <w:rFonts w:hint="eastAsia" w:ascii="Times New Roman" w:hAnsi="Times New Roman" w:eastAsia="华文宋体" w:cs="Times New Roman"/>
                <w:kern w:val="0"/>
                <w:sz w:val="21"/>
                <w:szCs w:val="21"/>
                <w:lang w:val="en-US" w:eastAsia="zh-CN" w:bidi="ar"/>
              </w:rPr>
              <w:t>药品</w:t>
            </w:r>
            <w:r>
              <w:rPr>
                <w:rFonts w:hint="default" w:ascii="Times New Roman" w:hAnsi="Times New Roman" w:eastAsia="华文宋体" w:cs="Times New Roman"/>
                <w:kern w:val="0"/>
                <w:sz w:val="21"/>
                <w:szCs w:val="21"/>
                <w:lang w:val="en-US" w:eastAsia="zh-CN" w:bidi="ar"/>
              </w:rPr>
              <w:t>制造企业常态化检测工作使用需求，适配本企业常规应用场景。</w:t>
            </w:r>
          </w:p>
        </w:tc>
      </w:tr>
      <w:tr w14:paraId="1B5BE7EC">
        <w:tblPrEx>
          <w:tblBorders>
            <w:top w:val="single" w:color="757070" w:themeColor="background2" w:themeShade="7F" w:sz="4" w:space="0"/>
            <w:left w:val="single" w:color="757070" w:themeColor="background2" w:themeShade="7F" w:sz="4" w:space="0"/>
            <w:bottom w:val="single" w:color="757070" w:themeColor="background2" w:themeShade="7F" w:sz="4" w:space="0"/>
            <w:right w:val="single" w:color="757070" w:themeColor="background2" w:themeShade="7F" w:sz="4" w:space="0"/>
            <w:insideH w:val="single" w:color="757070" w:themeColor="background2" w:themeShade="7F" w:sz="4" w:space="0"/>
            <w:insideV w:val="single" w:color="757070" w:themeColor="background2" w:themeShade="7F" w:sz="4" w:space="0"/>
          </w:tblBorders>
          <w:tblCellMar>
            <w:top w:w="15" w:type="dxa"/>
            <w:left w:w="15" w:type="dxa"/>
            <w:bottom w:w="15" w:type="dxa"/>
            <w:right w:w="15" w:type="dxa"/>
          </w:tblCellMar>
        </w:tblPrEx>
        <w:trPr>
          <w:trHeight w:val="471" w:hRule="atLeast"/>
          <w:jc w:val="center"/>
        </w:trPr>
        <w:tc>
          <w:tcPr>
            <w:tcW w:w="667" w:type="dxa"/>
            <w:tcBorders>
              <w:tl2br w:val="nil"/>
              <w:tr2bl w:val="nil"/>
            </w:tcBorders>
            <w:shd w:val="clear" w:color="auto" w:fill="auto"/>
            <w:tcMar>
              <w:top w:w="96" w:type="dxa"/>
              <w:left w:w="96" w:type="dxa"/>
              <w:bottom w:w="96" w:type="dxa"/>
              <w:right w:w="96" w:type="dxa"/>
            </w:tcMar>
            <w:vAlign w:val="center"/>
          </w:tcPr>
          <w:p w14:paraId="51DE94E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w:t>
            </w:r>
          </w:p>
        </w:tc>
        <w:tc>
          <w:tcPr>
            <w:tcW w:w="1514" w:type="dxa"/>
            <w:tcBorders>
              <w:tl2br w:val="nil"/>
              <w:tr2bl w:val="nil"/>
            </w:tcBorders>
            <w:shd w:val="clear" w:color="auto" w:fill="auto"/>
            <w:tcMar>
              <w:top w:w="96" w:type="dxa"/>
              <w:left w:w="96" w:type="dxa"/>
              <w:bottom w:w="96" w:type="dxa"/>
              <w:right w:w="96" w:type="dxa"/>
            </w:tcMar>
            <w:vAlign w:val="center"/>
          </w:tcPr>
          <w:p w14:paraId="3DBE7D3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pH计</w:t>
            </w:r>
          </w:p>
        </w:tc>
        <w:tc>
          <w:tcPr>
            <w:tcW w:w="1135" w:type="dxa"/>
            <w:tcBorders>
              <w:tl2br w:val="nil"/>
              <w:tr2bl w:val="nil"/>
            </w:tcBorders>
            <w:shd w:val="clear" w:color="auto" w:fill="auto"/>
            <w:tcMar>
              <w:top w:w="96" w:type="dxa"/>
              <w:left w:w="96" w:type="dxa"/>
              <w:bottom w:w="96" w:type="dxa"/>
              <w:right w:w="96" w:type="dxa"/>
            </w:tcMar>
            <w:vAlign w:val="center"/>
          </w:tcPr>
          <w:p w14:paraId="44B6E7B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1台</w:t>
            </w:r>
          </w:p>
        </w:tc>
        <w:tc>
          <w:tcPr>
            <w:tcW w:w="5843" w:type="dxa"/>
            <w:tcBorders>
              <w:tl2br w:val="nil"/>
              <w:tr2bl w:val="nil"/>
            </w:tcBorders>
            <w:shd w:val="clear" w:color="auto" w:fill="auto"/>
            <w:tcMar>
              <w:top w:w="96" w:type="dxa"/>
              <w:left w:w="96" w:type="dxa"/>
              <w:bottom w:w="96" w:type="dxa"/>
              <w:right w:w="96" w:type="dxa"/>
            </w:tcMar>
            <w:vAlign w:val="center"/>
          </w:tcPr>
          <w:p w14:paraId="0D1770A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采用高精度数显设计，测量数据精准、设备稳定性好，操作便捷、耐用性强，符合行业通用技术标准，可满足实验室水质、溶液pH值常规检测工作需求。</w:t>
            </w:r>
          </w:p>
        </w:tc>
      </w:tr>
      <w:tr w14:paraId="0CAF13BB">
        <w:tblPrEx>
          <w:tblBorders>
            <w:top w:val="single" w:color="757070" w:themeColor="background2" w:themeShade="7F" w:sz="4" w:space="0"/>
            <w:left w:val="single" w:color="757070" w:themeColor="background2" w:themeShade="7F" w:sz="4" w:space="0"/>
            <w:bottom w:val="single" w:color="757070" w:themeColor="background2" w:themeShade="7F" w:sz="4" w:space="0"/>
            <w:right w:val="single" w:color="757070" w:themeColor="background2" w:themeShade="7F" w:sz="4" w:space="0"/>
            <w:insideH w:val="single" w:color="757070" w:themeColor="background2" w:themeShade="7F" w:sz="4" w:space="0"/>
            <w:insideV w:val="single" w:color="757070" w:themeColor="background2" w:themeShade="7F" w:sz="4" w:space="0"/>
          </w:tblBorders>
          <w:shd w:val="clear" w:color="auto" w:fill="auto"/>
          <w:tblCellMar>
            <w:top w:w="15" w:type="dxa"/>
            <w:left w:w="15" w:type="dxa"/>
            <w:bottom w:w="15" w:type="dxa"/>
            <w:right w:w="15" w:type="dxa"/>
          </w:tblCellMar>
        </w:tblPrEx>
        <w:trPr>
          <w:trHeight w:val="471" w:hRule="atLeast"/>
          <w:jc w:val="center"/>
        </w:trPr>
        <w:tc>
          <w:tcPr>
            <w:tcW w:w="667" w:type="dxa"/>
            <w:tcBorders>
              <w:tl2br w:val="nil"/>
              <w:tr2bl w:val="nil"/>
            </w:tcBorders>
            <w:shd w:val="clear" w:color="auto" w:fill="auto"/>
            <w:tcMar>
              <w:top w:w="96" w:type="dxa"/>
              <w:left w:w="96" w:type="dxa"/>
              <w:bottom w:w="96" w:type="dxa"/>
              <w:right w:w="96" w:type="dxa"/>
            </w:tcMar>
            <w:vAlign w:val="center"/>
          </w:tcPr>
          <w:p w14:paraId="6C065BB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3</w:t>
            </w:r>
          </w:p>
        </w:tc>
        <w:tc>
          <w:tcPr>
            <w:tcW w:w="1514" w:type="dxa"/>
            <w:tcBorders>
              <w:tl2br w:val="nil"/>
              <w:tr2bl w:val="nil"/>
            </w:tcBorders>
            <w:shd w:val="clear" w:color="auto" w:fill="auto"/>
            <w:tcMar>
              <w:top w:w="96" w:type="dxa"/>
              <w:left w:w="96" w:type="dxa"/>
              <w:bottom w:w="96" w:type="dxa"/>
              <w:right w:w="96" w:type="dxa"/>
            </w:tcMar>
            <w:vAlign w:val="center"/>
          </w:tcPr>
          <w:p w14:paraId="395282F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-20℃医用保存箱</w:t>
            </w:r>
          </w:p>
        </w:tc>
        <w:tc>
          <w:tcPr>
            <w:tcW w:w="1135" w:type="dxa"/>
            <w:tcBorders>
              <w:tl2br w:val="nil"/>
              <w:tr2bl w:val="nil"/>
            </w:tcBorders>
            <w:shd w:val="clear" w:color="auto" w:fill="auto"/>
            <w:tcMar>
              <w:top w:w="96" w:type="dxa"/>
              <w:left w:w="96" w:type="dxa"/>
              <w:bottom w:w="96" w:type="dxa"/>
              <w:right w:w="96" w:type="dxa"/>
            </w:tcMar>
            <w:vAlign w:val="center"/>
          </w:tcPr>
          <w:p w14:paraId="6F956DA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4台</w:t>
            </w:r>
          </w:p>
        </w:tc>
        <w:tc>
          <w:tcPr>
            <w:tcW w:w="5843" w:type="dxa"/>
            <w:tcBorders>
              <w:tl2br w:val="nil"/>
              <w:tr2bl w:val="nil"/>
            </w:tcBorders>
            <w:shd w:val="clear" w:color="auto" w:fill="auto"/>
            <w:tcMar>
              <w:top w:w="96" w:type="dxa"/>
              <w:left w:w="96" w:type="dxa"/>
              <w:bottom w:w="96" w:type="dxa"/>
              <w:right w:w="96" w:type="dxa"/>
            </w:tcMar>
            <w:vAlign w:val="center"/>
          </w:tcPr>
          <w:p w14:paraId="2C0E48D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医用级标准设备，可稳定维持-20℃恒温储存环境，控温精准、制冷均匀、静音节能；配备实时温度显示、超温报警等安全防护功能，符合医用设备行业规范，适用于实验试剂、生物样品的低温储存工作。</w:t>
            </w:r>
          </w:p>
        </w:tc>
      </w:tr>
      <w:tr w14:paraId="31ACFEF3">
        <w:tblPrEx>
          <w:tblBorders>
            <w:top w:val="single" w:color="757070" w:themeColor="background2" w:themeShade="7F" w:sz="4" w:space="0"/>
            <w:left w:val="single" w:color="757070" w:themeColor="background2" w:themeShade="7F" w:sz="4" w:space="0"/>
            <w:bottom w:val="single" w:color="757070" w:themeColor="background2" w:themeShade="7F" w:sz="4" w:space="0"/>
            <w:right w:val="single" w:color="757070" w:themeColor="background2" w:themeShade="7F" w:sz="4" w:space="0"/>
            <w:insideH w:val="single" w:color="757070" w:themeColor="background2" w:themeShade="7F" w:sz="4" w:space="0"/>
            <w:insideV w:val="single" w:color="757070" w:themeColor="background2" w:themeShade="7F" w:sz="4" w:space="0"/>
          </w:tblBorders>
          <w:shd w:val="clear" w:color="auto" w:fill="auto"/>
          <w:tblCellMar>
            <w:top w:w="15" w:type="dxa"/>
            <w:left w:w="15" w:type="dxa"/>
            <w:bottom w:w="15" w:type="dxa"/>
            <w:right w:w="15" w:type="dxa"/>
          </w:tblCellMar>
        </w:tblPrEx>
        <w:trPr>
          <w:trHeight w:val="471" w:hRule="atLeast"/>
          <w:jc w:val="center"/>
        </w:trPr>
        <w:tc>
          <w:tcPr>
            <w:tcW w:w="667" w:type="dxa"/>
            <w:tcBorders>
              <w:tl2br w:val="nil"/>
              <w:tr2bl w:val="nil"/>
            </w:tcBorders>
            <w:shd w:val="clear" w:color="auto" w:fill="auto"/>
            <w:tcMar>
              <w:top w:w="96" w:type="dxa"/>
              <w:left w:w="96" w:type="dxa"/>
              <w:bottom w:w="96" w:type="dxa"/>
              <w:right w:w="96" w:type="dxa"/>
            </w:tcMar>
            <w:vAlign w:val="center"/>
          </w:tcPr>
          <w:p w14:paraId="5315208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kern w:val="0"/>
                <w:sz w:val="21"/>
                <w:szCs w:val="21"/>
                <w:lang w:val="en-US" w:eastAsia="zh-CN" w:bidi="ar"/>
              </w:rPr>
            </w:pPr>
            <w:r>
              <w:rPr>
                <w:rFonts w:hint="eastAsia" w:ascii="Times New Roman" w:hAnsi="Times New Roman" w:eastAsia="华文宋体" w:cs="Times New Roman"/>
                <w:kern w:val="0"/>
                <w:sz w:val="21"/>
                <w:szCs w:val="21"/>
                <w:lang w:val="en-US" w:eastAsia="zh-CN" w:bidi="ar"/>
              </w:rPr>
              <w:t>4</w:t>
            </w:r>
          </w:p>
        </w:tc>
        <w:tc>
          <w:tcPr>
            <w:tcW w:w="1514" w:type="dxa"/>
            <w:tcBorders>
              <w:tl2br w:val="nil"/>
              <w:tr2bl w:val="nil"/>
            </w:tcBorders>
            <w:shd w:val="clear" w:color="auto" w:fill="auto"/>
            <w:tcMar>
              <w:top w:w="96" w:type="dxa"/>
              <w:left w:w="96" w:type="dxa"/>
              <w:bottom w:w="96" w:type="dxa"/>
              <w:right w:w="96" w:type="dxa"/>
            </w:tcMar>
            <w:vAlign w:val="center"/>
          </w:tcPr>
          <w:p w14:paraId="5064550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kern w:val="0"/>
                <w:sz w:val="21"/>
                <w:szCs w:val="21"/>
                <w:lang w:val="en-US" w:eastAsia="zh-CN" w:bidi="ar"/>
              </w:rPr>
            </w:pPr>
            <w:r>
              <w:rPr>
                <w:rFonts w:hint="eastAsia" w:ascii="Times New Roman" w:hAnsi="Times New Roman" w:eastAsia="华文宋体" w:cs="Times New Roman"/>
                <w:kern w:val="0"/>
                <w:sz w:val="21"/>
                <w:szCs w:val="21"/>
                <w:lang w:val="en-US" w:eastAsia="zh-CN" w:bidi="ar"/>
              </w:rPr>
              <w:t>微生物限度仪</w:t>
            </w:r>
          </w:p>
        </w:tc>
        <w:tc>
          <w:tcPr>
            <w:tcW w:w="1135" w:type="dxa"/>
            <w:tcBorders>
              <w:tl2br w:val="nil"/>
              <w:tr2bl w:val="nil"/>
            </w:tcBorders>
            <w:shd w:val="clear" w:color="auto" w:fill="auto"/>
            <w:tcMar>
              <w:top w:w="96" w:type="dxa"/>
              <w:left w:w="96" w:type="dxa"/>
              <w:bottom w:w="96" w:type="dxa"/>
              <w:right w:w="96" w:type="dxa"/>
            </w:tcMar>
            <w:vAlign w:val="center"/>
          </w:tcPr>
          <w:p w14:paraId="3175D3F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eastAsia="华文宋体" w:cs="Times New Roman"/>
                <w:kern w:val="0"/>
                <w:sz w:val="21"/>
                <w:szCs w:val="21"/>
                <w:lang w:val="en-US" w:eastAsia="zh-CN" w:bidi="ar"/>
              </w:rPr>
            </w:pPr>
            <w:r>
              <w:rPr>
                <w:rFonts w:hint="eastAsia" w:ascii="Times New Roman" w:hAnsi="Times New Roman" w:eastAsia="华文宋体" w:cs="Times New Roman"/>
                <w:kern w:val="0"/>
                <w:sz w:val="21"/>
                <w:szCs w:val="21"/>
                <w:lang w:val="en-US" w:eastAsia="zh-CN" w:bidi="ar"/>
              </w:rPr>
              <w:t>1台</w:t>
            </w:r>
          </w:p>
        </w:tc>
        <w:tc>
          <w:tcPr>
            <w:tcW w:w="5843" w:type="dxa"/>
            <w:tcBorders>
              <w:tl2br w:val="nil"/>
              <w:tr2bl w:val="nil"/>
            </w:tcBorders>
            <w:shd w:val="clear" w:color="auto" w:fill="auto"/>
            <w:tcMar>
              <w:top w:w="96" w:type="dxa"/>
              <w:left w:w="96" w:type="dxa"/>
              <w:bottom w:w="96" w:type="dxa"/>
              <w:right w:w="96" w:type="dxa"/>
            </w:tcMar>
            <w:vAlign w:val="center"/>
          </w:tcPr>
          <w:p w14:paraId="33FB9A96">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Times New Roman" w:hAnsi="Times New Roman" w:eastAsia="华文宋体" w:cs="Times New Roman"/>
                <w:kern w:val="0"/>
                <w:sz w:val="21"/>
                <w:szCs w:val="21"/>
                <w:lang w:val="en-US" w:eastAsia="zh-CN" w:bidi="ar"/>
              </w:rPr>
            </w:pPr>
            <w:r>
              <w:rPr>
                <w:rFonts w:hint="default" w:ascii="Times New Roman" w:hAnsi="Times New Roman" w:eastAsia="华文宋体" w:cs="Times New Roman"/>
                <w:kern w:val="0"/>
                <w:sz w:val="21"/>
                <w:szCs w:val="21"/>
                <w:lang w:val="en-US" w:eastAsia="zh-CN" w:bidi="ar"/>
              </w:rPr>
              <w:t>依据2025年版《中国药典》薄膜过滤法设计，用于检测药品、原辅料、纯化水 / 注射用水等样品中的细菌、霉菌、酵母菌总数，确保产品符合微生物质量标准</w:t>
            </w:r>
            <w:r>
              <w:rPr>
                <w:rFonts w:hint="eastAsia" w:ascii="Times New Roman" w:hAnsi="Times New Roman" w:eastAsia="华文宋体" w:cs="Times New Roman"/>
                <w:kern w:val="0"/>
                <w:sz w:val="21"/>
                <w:szCs w:val="21"/>
                <w:lang w:val="en-US" w:eastAsia="zh-CN" w:bidi="ar"/>
              </w:rPr>
              <w:t>。</w:t>
            </w:r>
          </w:p>
        </w:tc>
      </w:tr>
    </w:tbl>
    <w:p w14:paraId="577CC1E6">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二、供应商资格条件</w:t>
      </w:r>
    </w:p>
    <w:p w14:paraId="6974892D">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 供应商须为依法设立、独立经营的法人企业，持有合法有效的营业执照，经营范围涵盖本次采购仪器设备的销售及配套服务，具备独立履约能力。</w:t>
      </w:r>
    </w:p>
    <w:p w14:paraId="07DD75C8">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 供应商具备本次采购设备的正规供货渠道、完善的售后服务体系，经营状况良好，无重大违法违规经营记录及失信惩戒记录。</w:t>
      </w:r>
    </w:p>
    <w:p w14:paraId="796A03ED">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3. 所投设备须符合国家现行行业标准、医用及实验室相关技术规范，为全新正品行货，可提供完整的产品合格证明、技术资料及售后保障材料。</w:t>
      </w:r>
    </w:p>
    <w:p w14:paraId="12988F5E">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4. 本次采购不接受联合体投标报价，严禁中标后转包、分包本次采购项目。</w:t>
      </w:r>
    </w:p>
    <w:p w14:paraId="0D42BE48">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三、报价要求</w:t>
      </w:r>
    </w:p>
    <w:p w14:paraId="4A7E2A43">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 本次报价为一次性全费用包干报价，包含设备货款、验证/确认（验收）费、税费、运输费、现场安装调试费、操作培训费、质保服务费、售后维修费等全部相关费用，采购企业无需另行支付任何费用。</w:t>
      </w:r>
    </w:p>
    <w:p w14:paraId="51C87D6A">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 供应商须严格按照国家行业标准及本企业使用需求提供合规标准设备，报价文件须完整列明设备品牌、规格型号、详细技术参数、供货周期、质保期限、售后服务方案等核心资料，确保内容真实、规范、完整。</w:t>
      </w:r>
    </w:p>
    <w:p w14:paraId="72B4D994">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3. 报价文件须加盖供应商有效公章，按要求密封完好；逾期递交、密封破损、资料缺失、不符合填报规范的报价文件，均视为无效报价，不予受理。</w:t>
      </w:r>
    </w:p>
    <w:p w14:paraId="7EC8786D">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四、供货及质保要求</w:t>
      </w:r>
    </w:p>
    <w:p w14:paraId="68C36E27">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 质保服务：设备整体质保期限不得少于1年，质保期内设备出现质量问题，供应商须免费提供维修、零部件更换等服务；质保期满后，终身提供技术咨询服务及优惠维保服务，接到故障报修通知后须及时响应、上门处置。</w:t>
      </w:r>
    </w:p>
    <w:p w14:paraId="525F2777">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 交付标准：设备安装调试完成后，须运行稳定、各项指标达标，完全满足使用要求，顺利通过采购企业验收；交付时须同步提供设备说明书、产品合格证、保修卡等全套正规资料。</w:t>
      </w:r>
    </w:p>
    <w:p w14:paraId="0D0833C2">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五、报价文件递交事宜</w:t>
      </w:r>
    </w:p>
    <w:p w14:paraId="060AE0EB">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 递交截止时间</w:t>
      </w:r>
      <w:r>
        <w:rPr>
          <w:rFonts w:hint="eastAsia" w:ascii="Times New Roman" w:hAnsi="Times New Roman" w:eastAsia="华文宋体" w:cs="Times New Roman"/>
          <w:kern w:val="0"/>
          <w:sz w:val="21"/>
          <w:szCs w:val="21"/>
          <w:lang w:val="en-US" w:eastAsia="zh-CN" w:bidi="ar"/>
        </w:rPr>
        <w:t>：</w:t>
      </w:r>
      <w:r>
        <w:rPr>
          <w:rFonts w:hint="default" w:ascii="Times New Roman" w:hAnsi="Times New Roman" w:eastAsia="华文宋体" w:cs="Times New Roman"/>
          <w:kern w:val="0"/>
          <w:sz w:val="21"/>
          <w:szCs w:val="21"/>
          <w:lang w:val="en-US" w:eastAsia="zh-CN" w:bidi="ar"/>
        </w:rPr>
        <w:t>【2026年</w:t>
      </w:r>
      <w:r>
        <w:rPr>
          <w:rFonts w:hint="eastAsia" w:ascii="Times New Roman" w:hAnsi="Times New Roman" w:eastAsia="华文宋体" w:cs="Times New Roman"/>
          <w:kern w:val="0"/>
          <w:sz w:val="21"/>
          <w:szCs w:val="21"/>
          <w:lang w:val="en-US" w:eastAsia="zh-CN" w:bidi="ar"/>
        </w:rPr>
        <w:t>08</w:t>
      </w:r>
      <w:r>
        <w:rPr>
          <w:rFonts w:hint="default" w:ascii="Times New Roman" w:hAnsi="Times New Roman" w:eastAsia="华文宋体" w:cs="Times New Roman"/>
          <w:kern w:val="0"/>
          <w:sz w:val="21"/>
          <w:szCs w:val="21"/>
          <w:lang w:val="en-US" w:eastAsia="zh-CN" w:bidi="ar"/>
        </w:rPr>
        <w:t>月</w:t>
      </w:r>
      <w:r>
        <w:rPr>
          <w:rFonts w:hint="eastAsia" w:ascii="Times New Roman" w:hAnsi="Times New Roman" w:eastAsia="华文宋体" w:cs="Times New Roman"/>
          <w:kern w:val="0"/>
          <w:sz w:val="21"/>
          <w:szCs w:val="21"/>
          <w:lang w:val="en-US" w:eastAsia="zh-CN" w:bidi="ar"/>
        </w:rPr>
        <w:t>07</w:t>
      </w:r>
      <w:r>
        <w:rPr>
          <w:rFonts w:hint="default" w:ascii="Times New Roman" w:hAnsi="Times New Roman" w:eastAsia="华文宋体" w:cs="Times New Roman"/>
          <w:kern w:val="0"/>
          <w:sz w:val="21"/>
          <w:szCs w:val="21"/>
          <w:lang w:val="en-US" w:eastAsia="zh-CN" w:bidi="ar"/>
        </w:rPr>
        <w:t>日</w:t>
      </w:r>
      <w:r>
        <w:rPr>
          <w:rFonts w:hint="eastAsia" w:ascii="Times New Roman" w:hAnsi="Times New Roman" w:eastAsia="华文宋体" w:cs="Times New Roman"/>
          <w:kern w:val="0"/>
          <w:sz w:val="21"/>
          <w:szCs w:val="21"/>
          <w:lang w:val="en-US" w:eastAsia="zh-CN" w:bidi="ar"/>
        </w:rPr>
        <w:t>，</w:t>
      </w:r>
      <w:r>
        <w:rPr>
          <w:rFonts w:hint="default" w:ascii="Times New Roman" w:hAnsi="Times New Roman" w:eastAsia="华文宋体" w:cs="Times New Roman"/>
          <w:kern w:val="0"/>
          <w:sz w:val="21"/>
          <w:szCs w:val="21"/>
          <w:lang w:val="en-US" w:eastAsia="zh-CN" w:bidi="ar"/>
        </w:rPr>
        <w:t>17:00】（北京时间，逾期递交的报价文件一律不予受理）</w:t>
      </w:r>
    </w:p>
    <w:p w14:paraId="2D3D64A1">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2. 递交地点：【四川省成都市锦江区三色路427号】</w:t>
      </w:r>
    </w:p>
    <w:p w14:paraId="1B16FA16">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3. 递交方式：支持现场递交或邮寄递交，邮寄递交产生的延误、丢失、破损等一切风险由供应商自行承担。</w:t>
      </w:r>
    </w:p>
    <w:p w14:paraId="484169D2">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六、比价评审规则</w:t>
      </w:r>
    </w:p>
    <w:p w14:paraId="24CD7ED3">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本次询比价采购坚持公平公正、质优价廉、综合择优的评审原则。我企业将组建专项评审小组，综合考量供应商报价、设备技术参数匹配度、供货周期、售后服务能力、企业资质及商业信誉等因素开展综合评审，择优确定成交供应商，对未成交供应商不作另行解释。</w:t>
      </w:r>
    </w:p>
    <w:p w14:paraId="3AEFBF77">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七、联系方式</w:t>
      </w:r>
    </w:p>
    <w:p w14:paraId="5B4EE216">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联</w:t>
      </w:r>
      <w:r>
        <w:rPr>
          <w:rFonts w:hint="eastAsia" w:ascii="Times New Roman" w:hAnsi="Times New Roman" w:eastAsia="华文宋体" w:cs="Times New Roman"/>
          <w:kern w:val="0"/>
          <w:sz w:val="21"/>
          <w:szCs w:val="21"/>
          <w:lang w:val="en-US" w:eastAsia="zh-CN" w:bidi="ar"/>
        </w:rPr>
        <w:t xml:space="preserve"> </w:t>
      </w:r>
      <w:r>
        <w:rPr>
          <w:rFonts w:hint="default" w:ascii="Times New Roman" w:hAnsi="Times New Roman" w:eastAsia="华文宋体" w:cs="Times New Roman"/>
          <w:kern w:val="0"/>
          <w:sz w:val="21"/>
          <w:szCs w:val="21"/>
          <w:lang w:val="en-US" w:eastAsia="zh-CN" w:bidi="ar"/>
        </w:rPr>
        <w:t>系</w:t>
      </w:r>
      <w:r>
        <w:rPr>
          <w:rFonts w:hint="eastAsia" w:ascii="Times New Roman" w:hAnsi="Times New Roman" w:eastAsia="华文宋体" w:cs="Times New Roman"/>
          <w:kern w:val="0"/>
          <w:sz w:val="21"/>
          <w:szCs w:val="21"/>
          <w:lang w:val="en-US" w:eastAsia="zh-CN" w:bidi="ar"/>
        </w:rPr>
        <w:t xml:space="preserve"> </w:t>
      </w:r>
      <w:r>
        <w:rPr>
          <w:rFonts w:hint="default" w:ascii="Times New Roman" w:hAnsi="Times New Roman" w:eastAsia="华文宋体" w:cs="Times New Roman"/>
          <w:kern w:val="0"/>
          <w:sz w:val="21"/>
          <w:szCs w:val="21"/>
          <w:lang w:val="en-US" w:eastAsia="zh-CN" w:bidi="ar"/>
        </w:rPr>
        <w:t>人：曾添</w:t>
      </w:r>
    </w:p>
    <w:p w14:paraId="37CB591A">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联系电话：13540262612</w:t>
      </w:r>
    </w:p>
    <w:p w14:paraId="0E7F0B43">
      <w:pPr>
        <w:keepNext w:val="0"/>
        <w:keepLines w:val="0"/>
        <w:widowControl/>
        <w:suppressLineNumbers w:val="0"/>
        <w:jc w:val="left"/>
        <w:rPr>
          <w:rFonts w:hint="default" w:ascii="Times New Roman" w:hAnsi="Times New Roman" w:eastAsia="华文宋体" w:cs="Times New Roman"/>
          <w:kern w:val="0"/>
          <w:sz w:val="21"/>
          <w:szCs w:val="21"/>
          <w:lang w:val="en-US" w:eastAsia="zh-CN" w:bidi="ar"/>
        </w:rPr>
      </w:pPr>
      <w:r>
        <w:rPr>
          <w:rFonts w:hint="default" w:ascii="Times New Roman" w:hAnsi="Times New Roman" w:eastAsia="华文宋体" w:cs="Times New Roman"/>
          <w:kern w:val="0"/>
          <w:sz w:val="21"/>
          <w:szCs w:val="21"/>
          <w:lang w:val="en-US" w:eastAsia="zh-CN" w:bidi="ar"/>
        </w:rPr>
        <w:t>联系地址：四川省成都市锦江区三色路427号</w:t>
      </w:r>
    </w:p>
    <w:p w14:paraId="1E154BA4">
      <w:pPr>
        <w:keepNext w:val="0"/>
        <w:keepLines w:val="0"/>
        <w:widowControl/>
        <w:suppressLineNumbers w:val="0"/>
        <w:jc w:val="left"/>
        <w:rPr>
          <w:rFonts w:hint="default" w:ascii="Times New Roman" w:hAnsi="Times New Roman" w:eastAsia="华文宋体" w:cs="Times New Roman"/>
          <w:kern w:val="0"/>
          <w:sz w:val="21"/>
          <w:szCs w:val="21"/>
          <w:lang w:val="en-US" w:eastAsia="zh-CN" w:bidi="ar"/>
        </w:rPr>
      </w:pPr>
    </w:p>
    <w:p w14:paraId="2306D2A7">
      <w:pPr>
        <w:pStyle w:val="2"/>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八、投标资料提交指导清单（附件配套说明）</w:t>
      </w:r>
    </w:p>
    <w:p w14:paraId="7E0530FB">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本次采购同步发布设备URS（用户需求规格）附件，所有参与比价的供应商须严格遵照本通知要求及URS技术规范编制、提交报价投标资料。为统一资料格式、规范投标内容，方便投标方完整、合规报送材料，特制定本次投标资料指导性清单，所有投标文件须包含以下全部资料，缺一不可：</w:t>
      </w:r>
    </w:p>
    <w:p w14:paraId="09B49DF7">
      <w:pPr>
        <w:keepNext w:val="0"/>
        <w:keepLines w:val="0"/>
        <w:widowControl/>
        <w:suppressLineNumbers w:val="0"/>
        <w:jc w:val="left"/>
        <w:rPr>
          <w:rFonts w:hint="default" w:ascii="Times New Roman" w:hAnsi="Times New Roman" w:eastAsia="华文宋体" w:cs="Times New Roman"/>
          <w:b/>
          <w:bCs/>
          <w:sz w:val="21"/>
          <w:szCs w:val="21"/>
        </w:rPr>
      </w:pPr>
      <w:r>
        <w:rPr>
          <w:rFonts w:hint="default" w:ascii="Times New Roman" w:hAnsi="Times New Roman" w:eastAsia="华文宋体" w:cs="Times New Roman"/>
          <w:b/>
          <w:bCs/>
          <w:sz w:val="21"/>
          <w:szCs w:val="21"/>
        </w:rPr>
        <w:t>（一）资质证明文件（加盖公章扫描件/复印件）</w:t>
      </w:r>
    </w:p>
    <w:p w14:paraId="0E03AAF6">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1. 供应商有效营业执照副本复印件，经营范围需覆盖本次仪器设备销售及配套服务；</w:t>
      </w:r>
    </w:p>
    <w:p w14:paraId="28B398A1">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2. 法定代表人身份证明、法定代表人授权委托书（委托投标需提供，格式自拟，需签字盖章齐全）；</w:t>
      </w:r>
    </w:p>
    <w:p w14:paraId="2B4660DE">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3. 供应商无失信记录、无重大经营违法违规记录书面承诺函（自拟盖章）；</w:t>
      </w:r>
    </w:p>
    <w:p w14:paraId="42BC49CD">
      <w:pPr>
        <w:keepNext w:val="0"/>
        <w:keepLines w:val="0"/>
        <w:widowControl/>
        <w:suppressLineNumbers w:val="0"/>
        <w:jc w:val="left"/>
        <w:rPr>
          <w:rFonts w:hint="eastAsia" w:ascii="Times New Roman" w:hAnsi="Times New Roman" w:eastAsia="华文宋体" w:cs="Times New Roman"/>
          <w:sz w:val="21"/>
          <w:szCs w:val="21"/>
          <w:lang w:val="en-US" w:eastAsia="zh-CN"/>
        </w:rPr>
      </w:pPr>
      <w:r>
        <w:rPr>
          <w:rFonts w:hint="default" w:ascii="Times New Roman" w:hAnsi="Times New Roman" w:eastAsia="华文宋体" w:cs="Times New Roman"/>
          <w:sz w:val="21"/>
          <w:szCs w:val="21"/>
        </w:rPr>
        <w:t xml:space="preserve">4. </w:t>
      </w:r>
      <w:r>
        <w:rPr>
          <w:rFonts w:hint="eastAsia" w:ascii="Times New Roman" w:hAnsi="Times New Roman" w:eastAsia="华文宋体" w:cs="Times New Roman"/>
          <w:sz w:val="21"/>
          <w:szCs w:val="21"/>
          <w:lang w:val="en-US" w:eastAsia="zh-CN"/>
        </w:rPr>
        <w:t>最近一年的增值税纳税申报表、现金流向表、资产负债表，最近期的企业无欠税证明；</w:t>
      </w:r>
    </w:p>
    <w:p w14:paraId="045925D2">
      <w:pPr>
        <w:keepNext w:val="0"/>
        <w:keepLines w:val="0"/>
        <w:widowControl/>
        <w:suppressLineNumbers w:val="0"/>
        <w:jc w:val="left"/>
        <w:rPr>
          <w:rFonts w:hint="default" w:ascii="Times New Roman" w:hAnsi="Times New Roman" w:eastAsia="华文宋体" w:cs="Times New Roman"/>
          <w:sz w:val="21"/>
          <w:szCs w:val="21"/>
          <w:lang w:val="en-US"/>
        </w:rPr>
      </w:pPr>
      <w:r>
        <w:rPr>
          <w:rFonts w:hint="eastAsia" w:ascii="Times New Roman" w:hAnsi="Times New Roman" w:eastAsia="华文宋体" w:cs="Times New Roman"/>
          <w:sz w:val="21"/>
          <w:szCs w:val="21"/>
          <w:lang w:val="en-US" w:eastAsia="zh-CN"/>
        </w:rPr>
        <w:t xml:space="preserve">5. </w:t>
      </w:r>
      <w:r>
        <w:rPr>
          <w:rFonts w:hint="default" w:ascii="Times New Roman" w:hAnsi="Times New Roman" w:eastAsia="华文宋体" w:cs="Times New Roman"/>
          <w:sz w:val="21"/>
          <w:szCs w:val="21"/>
        </w:rPr>
        <w:t>设备正规供货渠道证明资料（厂家授权书、代理资质证明等，可提供复印件加盖公章）</w:t>
      </w:r>
      <w:r>
        <w:rPr>
          <w:rFonts w:hint="eastAsia" w:ascii="Times New Roman" w:hAnsi="Times New Roman" w:eastAsia="华文宋体" w:cs="Times New Roman"/>
          <w:sz w:val="21"/>
          <w:szCs w:val="21"/>
          <w:lang w:eastAsia="zh-CN"/>
        </w:rPr>
        <w:t>。</w:t>
      </w:r>
    </w:p>
    <w:p w14:paraId="247F16C9">
      <w:pPr>
        <w:keepNext w:val="0"/>
        <w:keepLines w:val="0"/>
        <w:widowControl/>
        <w:suppressLineNumbers w:val="0"/>
        <w:jc w:val="left"/>
        <w:rPr>
          <w:rFonts w:hint="default" w:ascii="Times New Roman" w:hAnsi="Times New Roman" w:eastAsia="华文宋体" w:cs="Times New Roman"/>
          <w:b/>
          <w:bCs/>
          <w:sz w:val="21"/>
          <w:szCs w:val="21"/>
        </w:rPr>
      </w:pPr>
      <w:r>
        <w:rPr>
          <w:rFonts w:hint="default" w:ascii="Times New Roman" w:hAnsi="Times New Roman" w:eastAsia="华文宋体" w:cs="Times New Roman"/>
          <w:b/>
          <w:bCs/>
          <w:sz w:val="21"/>
          <w:szCs w:val="21"/>
        </w:rPr>
        <w:t>（二）设备技术响应文件</w:t>
      </w:r>
    </w:p>
    <w:p w14:paraId="43EE2072">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1. 完整响应本次采购需求及URS附件要求的技术参数响应对照表，逐条对照URS及本通知设备要求进行正向应答，明确参数、功能、标准匹配情况，不得虚假应答、漏项应答；</w:t>
      </w:r>
    </w:p>
    <w:p w14:paraId="594AFC99">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2. 投标设备品牌、规格型号、出厂技术手册、产品彩页、官方技术参数说明等佐证材料；</w:t>
      </w:r>
    </w:p>
    <w:p w14:paraId="48BE8B2B">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3. 设备符合国家行业标准、医用及实验室相关规范的资质、检测报告、合格证等证明材料；</w:t>
      </w:r>
    </w:p>
    <w:p w14:paraId="5D096A32">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4. 针对本次采购设备的适配性说明、安装调试方案、设备验收标准说明。</w:t>
      </w:r>
    </w:p>
    <w:p w14:paraId="01207B1D">
      <w:pPr>
        <w:keepNext w:val="0"/>
        <w:keepLines w:val="0"/>
        <w:widowControl/>
        <w:suppressLineNumbers w:val="0"/>
        <w:jc w:val="left"/>
        <w:rPr>
          <w:rFonts w:hint="default" w:ascii="Times New Roman" w:hAnsi="Times New Roman" w:eastAsia="华文宋体" w:cs="Times New Roman"/>
          <w:b/>
          <w:bCs/>
          <w:sz w:val="21"/>
          <w:szCs w:val="21"/>
        </w:rPr>
      </w:pPr>
      <w:r>
        <w:rPr>
          <w:rFonts w:hint="default" w:ascii="Times New Roman" w:hAnsi="Times New Roman" w:eastAsia="华文宋体" w:cs="Times New Roman"/>
          <w:b/>
          <w:bCs/>
          <w:sz w:val="21"/>
          <w:szCs w:val="21"/>
        </w:rPr>
        <w:t>（三）商务报价文件</w:t>
      </w:r>
    </w:p>
    <w:p w14:paraId="227180A5">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1. 正式报价单（加盖公章），列明各设备单价、总价、合计总价，明确为含税、含运费、含安装调试、含质保全费用包干报价；</w:t>
      </w:r>
    </w:p>
    <w:p w14:paraId="41836AC5">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2. 详细报价明细清单，列明设备成本、运输、安装、调试、培训、质保等各项费用构成；</w:t>
      </w:r>
    </w:p>
    <w:p w14:paraId="3F59CE02">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3. 明确书面承诺供货周期、交付时间、验收配合方案。</w:t>
      </w:r>
    </w:p>
    <w:p w14:paraId="625304C7">
      <w:pPr>
        <w:keepNext w:val="0"/>
        <w:keepLines w:val="0"/>
        <w:widowControl/>
        <w:suppressLineNumbers w:val="0"/>
        <w:jc w:val="left"/>
        <w:rPr>
          <w:rFonts w:hint="default" w:ascii="Times New Roman" w:hAnsi="Times New Roman" w:eastAsia="华文宋体" w:cs="Times New Roman"/>
          <w:b/>
          <w:bCs/>
          <w:sz w:val="21"/>
          <w:szCs w:val="21"/>
        </w:rPr>
      </w:pPr>
      <w:r>
        <w:rPr>
          <w:rFonts w:hint="default" w:ascii="Times New Roman" w:hAnsi="Times New Roman" w:eastAsia="华文宋体" w:cs="Times New Roman"/>
          <w:b/>
          <w:bCs/>
          <w:sz w:val="21"/>
          <w:szCs w:val="21"/>
        </w:rPr>
        <w:t>（四）售后服务及质保文件</w:t>
      </w:r>
    </w:p>
    <w:p w14:paraId="715FBBCE">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1. 完整售后服务方案，包含质保期限、故障响应时效、上门维修服务流程、免费维保内容、终身维保服务承诺；</w:t>
      </w:r>
    </w:p>
    <w:p w14:paraId="7F77406E">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2. 设备售后技术支持、操作人员免费培训方案；</w:t>
      </w:r>
    </w:p>
    <w:p w14:paraId="6CC63FEA">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3. 备品备件保障、后期维保优惠服务书面承诺。</w:t>
      </w:r>
    </w:p>
    <w:p w14:paraId="70808B42">
      <w:pPr>
        <w:keepNext w:val="0"/>
        <w:keepLines w:val="0"/>
        <w:widowControl/>
        <w:suppressLineNumbers w:val="0"/>
        <w:jc w:val="left"/>
        <w:rPr>
          <w:rFonts w:hint="default" w:ascii="Times New Roman" w:hAnsi="Times New Roman" w:eastAsia="华文宋体" w:cs="Times New Roman"/>
          <w:b/>
          <w:bCs/>
          <w:sz w:val="21"/>
          <w:szCs w:val="21"/>
        </w:rPr>
      </w:pPr>
      <w:r>
        <w:rPr>
          <w:rFonts w:hint="default" w:ascii="Times New Roman" w:hAnsi="Times New Roman" w:eastAsia="华文宋体" w:cs="Times New Roman"/>
          <w:b/>
          <w:bCs/>
          <w:sz w:val="21"/>
          <w:szCs w:val="21"/>
        </w:rPr>
        <w:t>（五）其他补充资料</w:t>
      </w:r>
    </w:p>
    <w:p w14:paraId="2B01BA4F">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1. 供应商同类设备供货业绩证明（近三年合作合同、验收凭证等，择优提供）；</w:t>
      </w:r>
    </w:p>
    <w:p w14:paraId="7CBC3D18">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2. 投标资料真实性、合规性书面承诺书</w:t>
      </w:r>
      <w:r>
        <w:rPr>
          <w:rFonts w:hint="eastAsia" w:ascii="Times New Roman" w:hAnsi="Times New Roman" w:eastAsia="华文宋体" w:cs="Times New Roman"/>
          <w:sz w:val="21"/>
          <w:szCs w:val="21"/>
          <w:lang w:eastAsia="zh-CN"/>
        </w:rPr>
        <w:t>（</w:t>
      </w:r>
      <w:r>
        <w:rPr>
          <w:rFonts w:hint="eastAsia" w:ascii="Times New Roman" w:hAnsi="Times New Roman" w:eastAsia="华文宋体" w:cs="Times New Roman"/>
          <w:sz w:val="21"/>
          <w:szCs w:val="21"/>
          <w:lang w:val="en-US" w:eastAsia="zh-CN"/>
        </w:rPr>
        <w:t>格式自拟</w:t>
      </w:r>
      <w:r>
        <w:rPr>
          <w:rFonts w:hint="eastAsia" w:ascii="Times New Roman" w:hAnsi="Times New Roman" w:eastAsia="华文宋体" w:cs="Times New Roman"/>
          <w:sz w:val="21"/>
          <w:szCs w:val="21"/>
          <w:lang w:eastAsia="zh-CN"/>
        </w:rPr>
        <w:t>）</w:t>
      </w:r>
      <w:r>
        <w:rPr>
          <w:rFonts w:hint="default" w:ascii="Times New Roman" w:hAnsi="Times New Roman" w:eastAsia="华文宋体" w:cs="Times New Roman"/>
          <w:sz w:val="21"/>
          <w:szCs w:val="21"/>
        </w:rPr>
        <w:t>；</w:t>
      </w:r>
    </w:p>
    <w:p w14:paraId="2F8A2152">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sz w:val="21"/>
          <w:szCs w:val="21"/>
        </w:rPr>
        <w:t>3. 采购单位及URS附件要求提供的其他补充资料。</w:t>
      </w:r>
    </w:p>
    <w:p w14:paraId="17269487">
      <w:pPr>
        <w:keepNext w:val="0"/>
        <w:keepLines w:val="0"/>
        <w:widowControl/>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b/>
          <w:bCs/>
          <w:sz w:val="21"/>
          <w:szCs w:val="21"/>
        </w:rPr>
        <w:t>重要说明：所有投标资料须整理成册、页码齐全、加盖单位公章、密封完好，未按本清单要求提交资料、资料缺失、响应不符URS规范的，视为无效投标，采购单位有权不予受理。</w:t>
      </w:r>
    </w:p>
    <w:p w14:paraId="04E0F225">
      <w:pPr>
        <w:pStyle w:val="2"/>
        <w:keepNext w:val="0"/>
        <w:keepLines w:val="0"/>
        <w:widowControl/>
        <w:suppressLineNumbers w:val="0"/>
        <w:jc w:val="left"/>
        <w:rPr>
          <w:rFonts w:hint="default" w:ascii="Times New Roman" w:hAnsi="Times New Roman" w:eastAsia="华文宋体" w:cs="Times New Roman"/>
          <w:sz w:val="21"/>
          <w:szCs w:val="21"/>
        </w:rPr>
      </w:pPr>
      <w:r>
        <w:rPr>
          <w:rFonts w:hint="eastAsia" w:ascii="Times New Roman" w:hAnsi="Times New Roman" w:eastAsia="华文宋体" w:cs="Times New Roman"/>
          <w:sz w:val="21"/>
          <w:szCs w:val="21"/>
          <w:lang w:val="en-US" w:eastAsia="zh-CN"/>
        </w:rPr>
        <w:t>九、</w:t>
      </w:r>
      <w:r>
        <w:rPr>
          <w:rFonts w:hint="default" w:ascii="Times New Roman" w:hAnsi="Times New Roman" w:eastAsia="华文宋体" w:cs="Times New Roman"/>
          <w:sz w:val="21"/>
          <w:szCs w:val="21"/>
        </w:rPr>
        <w:t>其他说明</w:t>
      </w:r>
    </w:p>
    <w:p w14:paraId="679FD0C3">
      <w:pPr>
        <w:keepNext w:val="0"/>
        <w:keepLines w:val="0"/>
        <w:widowControl/>
        <w:numPr>
          <w:ilvl w:val="0"/>
          <w:numId w:val="0"/>
        </w:numPr>
        <w:suppressLineNumbers w:val="0"/>
        <w:jc w:val="left"/>
        <w:rPr>
          <w:rFonts w:hint="default" w:ascii="Times New Roman" w:hAnsi="Times New Roman" w:eastAsia="华文宋体" w:cs="Times New Roman"/>
          <w:sz w:val="21"/>
          <w:szCs w:val="21"/>
        </w:rPr>
      </w:pPr>
      <w:r>
        <w:rPr>
          <w:rFonts w:hint="default" w:ascii="Times New Roman" w:hAnsi="Times New Roman" w:eastAsia="华文宋体" w:cs="Times New Roman"/>
          <w:kern w:val="0"/>
          <w:sz w:val="21"/>
          <w:szCs w:val="21"/>
          <w:lang w:val="en-US" w:eastAsia="zh-CN" w:bidi="ar"/>
        </w:rPr>
        <w:t>1. 供应商提交的全部报价资料须真实、准确、合法、有效。若存在弄虚作假、虚报参数、挂靠投标等违规行为，采购企业有权立即取消其参选及成交资格，并将其纳入本企业采购失信名单。</w:t>
      </w:r>
    </w:p>
    <w:p w14:paraId="7979B4D8">
      <w:pPr>
        <w:keepNext w:val="0"/>
        <w:keepLines w:val="0"/>
        <w:widowControl/>
        <w:suppressLineNumbers w:val="0"/>
        <w:jc w:val="left"/>
        <w:rPr>
          <w:rFonts w:hint="default" w:ascii="Times New Roman" w:hAnsi="Times New Roman" w:eastAsia="华文宋体" w:cs="Times New Roman"/>
          <w:kern w:val="0"/>
          <w:sz w:val="21"/>
          <w:szCs w:val="21"/>
          <w:lang w:val="en-US" w:eastAsia="zh-CN" w:bidi="ar"/>
        </w:rPr>
      </w:pPr>
      <w:r>
        <w:rPr>
          <w:rFonts w:hint="default" w:ascii="Times New Roman" w:hAnsi="Times New Roman" w:eastAsia="华文宋体" w:cs="Times New Roman"/>
          <w:kern w:val="0"/>
          <w:sz w:val="21"/>
          <w:szCs w:val="21"/>
          <w:lang w:val="en-US" w:eastAsia="zh-CN" w:bidi="ar"/>
        </w:rPr>
        <w:t>2. 本项目为标准通用仪器设备询比价采购项目，采购企业可根据实际工作需求，对采购内容进行合理调整，且无需向供应商承担任何补偿责任。</w:t>
      </w:r>
    </w:p>
    <w:p w14:paraId="10C993B1">
      <w:pPr>
        <w:keepNext w:val="0"/>
        <w:keepLines w:val="0"/>
        <w:widowControl/>
        <w:suppressLineNumbers w:val="0"/>
        <w:jc w:val="left"/>
        <w:rPr>
          <w:rFonts w:hint="default" w:ascii="Times New Roman" w:hAnsi="Times New Roman" w:eastAsia="华文宋体" w:cs="Times New Roman"/>
          <w:kern w:val="0"/>
          <w:sz w:val="21"/>
          <w:szCs w:val="21"/>
          <w:lang w:val="en-US" w:eastAsia="zh-CN" w:bidi="ar"/>
        </w:rPr>
      </w:pPr>
      <w:r>
        <w:rPr>
          <w:rFonts w:hint="eastAsia" w:ascii="Times New Roman" w:hAnsi="Times New Roman" w:eastAsia="华文宋体" w:cs="Times New Roman"/>
          <w:kern w:val="0"/>
          <w:sz w:val="21"/>
          <w:szCs w:val="21"/>
          <w:lang w:val="en-US" w:eastAsia="zh-CN" w:bidi="ar"/>
        </w:rPr>
        <w:t>3. 附件：</w:t>
      </w:r>
      <w:r>
        <w:rPr>
          <w:rFonts w:hint="default" w:ascii="Times New Roman" w:hAnsi="Times New Roman" w:eastAsia="华文宋体" w:cs="Times New Roman"/>
          <w:kern w:val="0"/>
          <w:sz w:val="21"/>
          <w:szCs w:val="21"/>
          <w:lang w:val="en-US" w:eastAsia="zh-CN" w:bidi="ar"/>
        </w:rPr>
        <w:t>过滤器完整性测试仪</w:t>
      </w:r>
      <w:r>
        <w:rPr>
          <w:rFonts w:hint="eastAsia" w:ascii="Times New Roman" w:hAnsi="Times New Roman" w:eastAsia="华文宋体" w:cs="Times New Roman"/>
          <w:kern w:val="0"/>
          <w:sz w:val="21"/>
          <w:szCs w:val="21"/>
          <w:lang w:val="en-US" w:eastAsia="zh-CN" w:bidi="ar"/>
        </w:rPr>
        <w:t>URS、pH计URS、-20℃医用保存箱URS、微生物限度仪URS。</w:t>
      </w:r>
    </w:p>
    <w:p w14:paraId="5CD5BB3D">
      <w:pPr>
        <w:keepNext w:val="0"/>
        <w:keepLines w:val="0"/>
        <w:widowControl/>
        <w:suppressLineNumbers w:val="0"/>
        <w:jc w:val="left"/>
        <w:rPr>
          <w:rFonts w:hint="default" w:ascii="Times New Roman" w:hAnsi="Times New Roman" w:eastAsia="华文宋体" w:cs="Times New Roman"/>
          <w:sz w:val="21"/>
          <w:szCs w:val="21"/>
        </w:rPr>
      </w:pPr>
      <w:r>
        <w:rPr>
          <w:rFonts w:hint="eastAsia" w:ascii="Times New Roman" w:hAnsi="Times New Roman" w:eastAsia="华文宋体" w:cs="Times New Roman"/>
          <w:kern w:val="0"/>
          <w:sz w:val="21"/>
          <w:szCs w:val="21"/>
          <w:lang w:val="en-US" w:eastAsia="zh-CN" w:bidi="ar"/>
        </w:rPr>
        <w:t>4</w:t>
      </w:r>
      <w:r>
        <w:rPr>
          <w:rFonts w:hint="default" w:ascii="Times New Roman" w:hAnsi="Times New Roman" w:eastAsia="华文宋体" w:cs="Times New Roman"/>
          <w:kern w:val="0"/>
          <w:sz w:val="21"/>
          <w:szCs w:val="21"/>
          <w:lang w:val="en-US" w:eastAsia="zh-CN" w:bidi="ar"/>
        </w:rPr>
        <w:t>. 本采购公告的最终解释权归【成都诺迪康生物制药有限公司】所有。</w:t>
      </w:r>
    </w:p>
    <w:p w14:paraId="4CA87001">
      <w:pPr>
        <w:keepNext w:val="0"/>
        <w:keepLines w:val="0"/>
        <w:widowControl/>
        <w:suppressLineNumbers w:val="0"/>
        <w:jc w:val="left"/>
        <w:rPr>
          <w:rFonts w:hint="default" w:ascii="Times New Roman" w:hAnsi="Times New Roman" w:eastAsia="华文宋体" w:cs="Times New Roman"/>
          <w:b/>
          <w:bCs/>
          <w:kern w:val="0"/>
          <w:sz w:val="21"/>
          <w:szCs w:val="21"/>
          <w:lang w:val="en-US" w:eastAsia="zh-CN" w:bidi="ar"/>
        </w:rPr>
      </w:pPr>
    </w:p>
    <w:p w14:paraId="3CE615E5">
      <w:pPr>
        <w:keepNext w:val="0"/>
        <w:keepLines w:val="0"/>
        <w:widowControl/>
        <w:suppressLineNumbers w:val="0"/>
        <w:jc w:val="left"/>
        <w:rPr>
          <w:rFonts w:hint="default" w:ascii="Times New Roman" w:hAnsi="Times New Roman" w:eastAsia="华文宋体" w:cs="Times New Roman"/>
          <w:b/>
          <w:bCs/>
          <w:kern w:val="0"/>
          <w:sz w:val="21"/>
          <w:szCs w:val="21"/>
          <w:lang w:val="en-US" w:eastAsia="zh-CN" w:bidi="ar"/>
        </w:rPr>
      </w:pPr>
    </w:p>
    <w:p w14:paraId="519BF7B3">
      <w:pPr>
        <w:keepNext w:val="0"/>
        <w:keepLines w:val="0"/>
        <w:widowControl/>
        <w:suppressLineNumbers w:val="0"/>
        <w:jc w:val="left"/>
        <w:rPr>
          <w:rFonts w:hint="default" w:ascii="Times New Roman" w:hAnsi="Times New Roman" w:eastAsia="华文宋体" w:cs="Times New Roman"/>
          <w:b/>
          <w:bCs/>
          <w:kern w:val="0"/>
          <w:sz w:val="21"/>
          <w:szCs w:val="21"/>
          <w:lang w:val="en-US" w:eastAsia="zh-CN" w:bidi="ar"/>
        </w:rPr>
      </w:pPr>
    </w:p>
    <w:p w14:paraId="3B696C73">
      <w:pPr>
        <w:keepNext w:val="0"/>
        <w:keepLines w:val="0"/>
        <w:widowControl/>
        <w:suppressLineNumbers w:val="0"/>
        <w:jc w:val="left"/>
        <w:rPr>
          <w:rFonts w:hint="default" w:ascii="Times New Roman" w:hAnsi="Times New Roman" w:eastAsia="华文宋体" w:cs="Times New Roman"/>
          <w:b/>
          <w:bCs/>
          <w:kern w:val="0"/>
          <w:sz w:val="21"/>
          <w:szCs w:val="21"/>
          <w:lang w:val="en-US" w:eastAsia="zh-CN" w:bidi="ar"/>
        </w:rPr>
      </w:pPr>
    </w:p>
    <w:p w14:paraId="6E9AF037">
      <w:pPr>
        <w:keepNext w:val="0"/>
        <w:keepLines w:val="0"/>
        <w:widowControl/>
        <w:suppressLineNumbers w:val="0"/>
        <w:jc w:val="right"/>
        <w:rPr>
          <w:rFonts w:hint="default" w:ascii="Times New Roman" w:hAnsi="Times New Roman" w:eastAsia="华文宋体" w:cs="Times New Roman"/>
          <w:b/>
          <w:bCs/>
          <w:kern w:val="0"/>
          <w:sz w:val="21"/>
          <w:szCs w:val="21"/>
          <w:lang w:val="en-US" w:eastAsia="zh-CN" w:bidi="ar"/>
        </w:rPr>
      </w:pPr>
      <w:r>
        <w:rPr>
          <w:rFonts w:hint="default" w:ascii="Times New Roman" w:hAnsi="Times New Roman" w:eastAsia="华文宋体" w:cs="Times New Roman"/>
          <w:b/>
          <w:bCs/>
          <w:kern w:val="0"/>
          <w:sz w:val="21"/>
          <w:szCs w:val="21"/>
          <w:lang w:val="en-US" w:eastAsia="zh-CN" w:bidi="ar"/>
        </w:rPr>
        <w:t>成都诺迪康生物制药有限公司</w:t>
      </w:r>
    </w:p>
    <w:p w14:paraId="1F938755">
      <w:pPr>
        <w:pStyle w:val="8"/>
        <w:ind w:left="0" w:leftChars="0" w:firstLine="0" w:firstLineChars="0"/>
        <w:jc w:val="right"/>
        <w:rPr>
          <w:rFonts w:hint="default" w:ascii="Times New Roman" w:hAnsi="Times New Roman" w:eastAsia="华文宋体" w:cs="Times New Roman"/>
          <w:b/>
          <w:bCs/>
          <w:sz w:val="21"/>
          <w:szCs w:val="21"/>
          <w:lang w:val="en-US" w:eastAsia="zh-CN"/>
        </w:rPr>
      </w:pPr>
      <w:r>
        <w:rPr>
          <w:rStyle w:val="7"/>
          <w:rFonts w:hint="default" w:ascii="Times New Roman" w:hAnsi="Times New Roman" w:eastAsia="华文宋体" w:cs="Times New Roman"/>
          <w:b/>
          <w:bCs/>
          <w:kern w:val="0"/>
          <w:sz w:val="21"/>
          <w:szCs w:val="21"/>
          <w:lang w:val="en-US" w:eastAsia="zh-CN" w:bidi="ar"/>
        </w:rPr>
        <w:t>2026年7月1</w:t>
      </w:r>
      <w:r>
        <w:rPr>
          <w:rStyle w:val="7"/>
          <w:rFonts w:hint="eastAsia" w:ascii="Times New Roman" w:hAnsi="Times New Roman" w:eastAsia="华文宋体" w:cs="Times New Roman"/>
          <w:b/>
          <w:bCs/>
          <w:kern w:val="0"/>
          <w:sz w:val="21"/>
          <w:szCs w:val="21"/>
          <w:lang w:val="en-US" w:eastAsia="zh-CN" w:bidi="ar"/>
        </w:rPr>
        <w:t>6</w:t>
      </w:r>
      <w:r>
        <w:rPr>
          <w:rStyle w:val="7"/>
          <w:rFonts w:hint="default" w:ascii="Times New Roman" w:hAnsi="Times New Roman" w:eastAsia="华文宋体" w:cs="Times New Roman"/>
          <w:b/>
          <w:bCs/>
          <w:kern w:val="0"/>
          <w:sz w:val="21"/>
          <w:szCs w:val="21"/>
          <w:lang w:val="en-US" w:eastAsia="zh-CN" w:bidi="ar"/>
        </w:rPr>
        <w:t>日</w:t>
      </w:r>
    </w:p>
    <w:p w14:paraId="75016B4A">
      <w:pPr>
        <w:rPr>
          <w:rFonts w:hint="default" w:ascii="Times New Roman" w:hAnsi="Times New Roman" w:eastAsia="华文宋体" w:cs="Times New Roman"/>
          <w:sz w:val="21"/>
          <w:szCs w:val="21"/>
        </w:rPr>
      </w:pPr>
    </w:p>
    <w:sectPr>
      <w:headerReference r:id="rId3" w:type="default"/>
      <w:pgSz w:w="11906" w:h="16838"/>
      <w:pgMar w:top="1417" w:right="1417" w:bottom="1134"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E6261">
    <w:pPr>
      <w:pStyle w:val="4"/>
      <w:pBdr>
        <w:bottom w:val="dashed" w:color="auto" w:sz="4" w:space="1"/>
      </w:pBdr>
      <w:rPr>
        <w:rFonts w:hint="default" w:eastAsia="仿宋"/>
        <w:lang w:val="en-US" w:eastAsia="zh-CN"/>
      </w:rPr>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79A70">
                          <w:pPr>
                            <w:pStyle w:val="4"/>
                            <w:rPr>
                              <w:rFonts w:hint="default" w:ascii="Times New Roman" w:hAnsi="Times New Roman" w:eastAsia="宋体" w:cs="Times New Roman"/>
                              <w:sz w:val="16"/>
                              <w:szCs w:val="22"/>
                            </w:rPr>
                          </w:pPr>
                          <w:r>
                            <w:rPr>
                              <w:rFonts w:hint="default" w:ascii="Times New Roman" w:hAnsi="Times New Roman" w:eastAsia="宋体" w:cs="Times New Roman"/>
                              <w:sz w:val="16"/>
                              <w:szCs w:val="22"/>
                            </w:rPr>
                            <w:t xml:space="preserve">第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PAGE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1</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 共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NUMPAGES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2</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679A70">
                    <w:pPr>
                      <w:pStyle w:val="4"/>
                      <w:rPr>
                        <w:rFonts w:hint="default" w:ascii="Times New Roman" w:hAnsi="Times New Roman" w:eastAsia="宋体" w:cs="Times New Roman"/>
                        <w:sz w:val="16"/>
                        <w:szCs w:val="22"/>
                      </w:rPr>
                    </w:pPr>
                    <w:r>
                      <w:rPr>
                        <w:rFonts w:hint="default" w:ascii="Times New Roman" w:hAnsi="Times New Roman" w:eastAsia="宋体" w:cs="Times New Roman"/>
                        <w:sz w:val="16"/>
                        <w:szCs w:val="22"/>
                      </w:rPr>
                      <w:t xml:space="preserve">第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PAGE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1</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 共 </w:t>
                    </w:r>
                    <w:r>
                      <w:rPr>
                        <w:rFonts w:hint="default" w:ascii="Times New Roman" w:hAnsi="Times New Roman" w:eastAsia="宋体" w:cs="Times New Roman"/>
                        <w:sz w:val="16"/>
                        <w:szCs w:val="22"/>
                      </w:rPr>
                      <w:fldChar w:fldCharType="begin"/>
                    </w:r>
                    <w:r>
                      <w:rPr>
                        <w:rFonts w:hint="default" w:ascii="Times New Roman" w:hAnsi="Times New Roman" w:eastAsia="宋体" w:cs="Times New Roman"/>
                        <w:sz w:val="16"/>
                        <w:szCs w:val="22"/>
                      </w:rPr>
                      <w:instrText xml:space="preserve"> NUMPAGES  \* MERGEFORMAT </w:instrText>
                    </w:r>
                    <w:r>
                      <w:rPr>
                        <w:rFonts w:hint="default" w:ascii="Times New Roman" w:hAnsi="Times New Roman" w:eastAsia="宋体" w:cs="Times New Roman"/>
                        <w:sz w:val="16"/>
                        <w:szCs w:val="22"/>
                      </w:rPr>
                      <w:fldChar w:fldCharType="separate"/>
                    </w:r>
                    <w:r>
                      <w:rPr>
                        <w:rFonts w:hint="default" w:ascii="Times New Roman" w:hAnsi="Times New Roman" w:eastAsia="宋体" w:cs="Times New Roman"/>
                        <w:sz w:val="16"/>
                        <w:szCs w:val="22"/>
                      </w:rPr>
                      <w:t>2</w:t>
                    </w:r>
                    <w:r>
                      <w:rPr>
                        <w:rFonts w:hint="default" w:ascii="Times New Roman" w:hAnsi="Times New Roman" w:eastAsia="宋体" w:cs="Times New Roman"/>
                        <w:sz w:val="16"/>
                        <w:szCs w:val="22"/>
                      </w:rPr>
                      <w:fldChar w:fldCharType="end"/>
                    </w:r>
                    <w:r>
                      <w:rPr>
                        <w:rFonts w:hint="default" w:ascii="Times New Roman" w:hAnsi="Times New Roman" w:eastAsia="宋体" w:cs="Times New Roman"/>
                        <w:sz w:val="16"/>
                        <w:szCs w:val="22"/>
                      </w:rPr>
                      <w:t xml:space="preserve"> 页</w:t>
                    </w:r>
                  </w:p>
                </w:txbxContent>
              </v:textbox>
            </v:shape>
          </w:pict>
        </mc:Fallback>
      </mc:AlternateContent>
    </w:r>
    <w:r>
      <w:rPr>
        <w:rFonts w:hint="eastAsia" w:ascii="仿宋" w:hAnsi="仿宋" w:eastAsia="仿宋" w:cs="仿宋"/>
        <w:b/>
        <w:i w:val="0"/>
        <w:iCs/>
        <w:sz w:val="22"/>
      </w:rPr>
      <w:drawing>
        <wp:inline distT="0" distB="0" distL="114300" distR="114300">
          <wp:extent cx="411480" cy="38925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11480" cy="389255"/>
                  </a:xfrm>
                  <a:prstGeom prst="rect">
                    <a:avLst/>
                  </a:prstGeom>
                  <a:noFill/>
                  <a:ln>
                    <a:noFill/>
                  </a:ln>
                </pic:spPr>
              </pic:pic>
            </a:graphicData>
          </a:graphic>
        </wp:inline>
      </w:drawing>
    </w:r>
    <w:r>
      <w:rPr>
        <w:rFonts w:hint="eastAsia" w:ascii="宋体" w:hAnsi="宋体" w:eastAsia="宋体" w:cs="宋体"/>
        <w:b w:val="0"/>
        <w:bCs/>
        <w:i w:val="0"/>
        <w:iCs/>
        <w:sz w:val="15"/>
        <w:szCs w:val="15"/>
        <w:lang w:val="en-US" w:eastAsia="zh-CN"/>
      </w:rPr>
      <w:t>成都诺迪康生物制药有限公司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33E43"/>
    <w:rsid w:val="02B75F24"/>
    <w:rsid w:val="04A22F2C"/>
    <w:rsid w:val="0BDF6167"/>
    <w:rsid w:val="10605BC3"/>
    <w:rsid w:val="179202D7"/>
    <w:rsid w:val="180F222F"/>
    <w:rsid w:val="1FF8660E"/>
    <w:rsid w:val="2DD968F9"/>
    <w:rsid w:val="36C30D04"/>
    <w:rsid w:val="36CE3589"/>
    <w:rsid w:val="376D2DA2"/>
    <w:rsid w:val="389262E0"/>
    <w:rsid w:val="38AE2166"/>
    <w:rsid w:val="392C5790"/>
    <w:rsid w:val="458A2D71"/>
    <w:rsid w:val="4A885E3D"/>
    <w:rsid w:val="4B24353C"/>
    <w:rsid w:val="52B4142D"/>
    <w:rsid w:val="5FEA2932"/>
    <w:rsid w:val="65000502"/>
    <w:rsid w:val="7572321E"/>
    <w:rsid w:val="7AE60121"/>
    <w:rsid w:val="7D496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2800</Words>
  <Characters>2905</Characters>
  <Lines>0</Lines>
  <Paragraphs>0</Paragraphs>
  <TotalTime>18</TotalTime>
  <ScaleCrop>false</ScaleCrop>
  <LinksUpToDate>false</LinksUpToDate>
  <CharactersWithSpaces>2947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2026-07-14T01:15:00Z</dcterms:created>
  <dc:creator>华为</dc:creator>
  <cp:lastModifiedBy>whr</cp:lastModifiedBy>
  <dcterms:modified xsi:type="dcterms:W3CDTF">2026-07-16T00:58:58Z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eyJoZGlkIjoiMzEwNTM5NzYwMDRjMzkwZTVkZjY2ODkwMGIxNGU0OTUiLCJ1c2VySWQiOiIyOTg1NjUwMSJ9</vt:lpwstr>
  </property>
  <property fmtid="{D5CDD505-2E9C-101B-9397-08002B2CF9AE}" pid="4" name="ICV">
    <vt:lpwstr>7E7B997AE49F4E87AD13F05EDF7BB957_13</vt:lpwstr>
  </property>
</Properties>
</file>